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30E2" w14:textId="77777777" w:rsidR="003B68B9" w:rsidRPr="003B68B9" w:rsidRDefault="003B68B9" w:rsidP="003B68B9">
      <w:pPr>
        <w:pStyle w:val="NormalWeb"/>
        <w:jc w:val="center"/>
        <w:rPr>
          <w:rFonts w:ascii="Aptos" w:hAnsi="Aptos" w:cs="Calibri Light"/>
          <w:b/>
          <w:bCs/>
          <w:sz w:val="28"/>
          <w:szCs w:val="28"/>
        </w:rPr>
      </w:pPr>
      <w:r w:rsidRPr="003B68B9">
        <w:rPr>
          <w:rFonts w:ascii="Aptos" w:hAnsi="Aptos" w:cs="Calibri Light"/>
          <w:b/>
          <w:bCs/>
          <w:sz w:val="28"/>
          <w:szCs w:val="28"/>
        </w:rPr>
        <w:t>PROTOCOLO PARA LA APLICACIÓN DE LA LEGISLACIÓN DE TRANSPARENCIA Y ACCESO A LA INFORMACIÓN PÚBLICA</w:t>
      </w:r>
    </w:p>
    <w:p w14:paraId="481D2D09" w14:textId="77777777" w:rsidR="003B68B9" w:rsidRPr="003B68B9" w:rsidRDefault="003B68B9" w:rsidP="003B68B9">
      <w:pPr>
        <w:pStyle w:val="NormalWeb"/>
        <w:jc w:val="both"/>
        <w:rPr>
          <w:rFonts w:ascii="Aptos" w:hAnsi="Aptos" w:cs="Calibri Light"/>
        </w:rPr>
      </w:pPr>
    </w:p>
    <w:p w14:paraId="2255916E"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1. Introducción</w:t>
      </w:r>
    </w:p>
    <w:p w14:paraId="47B8F6A9" w14:textId="77777777" w:rsidR="003B68B9" w:rsidRPr="003B68B9" w:rsidRDefault="003B68B9" w:rsidP="003B68B9">
      <w:pPr>
        <w:pStyle w:val="NormalWeb"/>
        <w:jc w:val="both"/>
        <w:rPr>
          <w:rFonts w:ascii="Aptos" w:hAnsi="Aptos" w:cs="Calibri Light"/>
        </w:rPr>
      </w:pPr>
      <w:r w:rsidRPr="003B68B9">
        <w:rPr>
          <w:rFonts w:ascii="Aptos" w:hAnsi="Aptos" w:cs="Calibri Light"/>
        </w:rPr>
        <w:t>El presente protocolo tiene como objetivo establecer los mecanismos para la óptima aplicación de la legislación de transparencia, tanto estatal como autonómica, en la Asociación de Asesores Fiscales de Canarias (AAFC). Con este documento, la AAFC se compromete a cumplir con la normativa vigente y a promover la máxima transparencia en sus actividades, facilitando el derecho de acceso a la información pública a sus miembros y a la ciudadanía en general.</w:t>
      </w:r>
    </w:p>
    <w:p w14:paraId="1DDB9919" w14:textId="77777777" w:rsidR="003B68B9" w:rsidRPr="003B68B9" w:rsidRDefault="003B68B9" w:rsidP="003B68B9">
      <w:pPr>
        <w:pStyle w:val="NormalWeb"/>
        <w:jc w:val="both"/>
        <w:rPr>
          <w:rFonts w:ascii="Aptos" w:hAnsi="Aptos" w:cs="Calibri Light"/>
        </w:rPr>
      </w:pPr>
      <w:r w:rsidRPr="003B68B9">
        <w:rPr>
          <w:rFonts w:ascii="Aptos" w:hAnsi="Aptos" w:cs="Calibri Light"/>
        </w:rPr>
        <w:t>En este protocolo se detallan los procedimientos para la publicación de información según lo establecido por el Comisionado de Transparencia y Acceso a la Información Pública de Canarias. Además, se implementan los procesos necesarios para responder a las solicitudes de acceso a la información pública y se definen los órganos responsables de su gestión y resolución.</w:t>
      </w:r>
    </w:p>
    <w:p w14:paraId="0C8D168C" w14:textId="77777777" w:rsidR="003B68B9" w:rsidRPr="003B68B9" w:rsidRDefault="003B68B9" w:rsidP="003B68B9">
      <w:pPr>
        <w:pStyle w:val="NormalWeb"/>
        <w:jc w:val="both"/>
        <w:rPr>
          <w:rFonts w:ascii="Aptos" w:hAnsi="Aptos" w:cs="Calibri Light"/>
        </w:rPr>
      </w:pPr>
      <w:r w:rsidRPr="003B68B9">
        <w:rPr>
          <w:rFonts w:ascii="Aptos" w:hAnsi="Aptos" w:cs="Calibri Light"/>
        </w:rPr>
        <w:t>Asimismo, se establecen los mecanismos para la evaluación anual de la aplicación de la publicidad activa y del derecho de acceso a la información pública, asegurando la mejora continua en la transparencia de la AAFC.</w:t>
      </w:r>
    </w:p>
    <w:p w14:paraId="1BA6B0C2" w14:textId="77777777" w:rsidR="003B68B9" w:rsidRPr="003B68B9" w:rsidRDefault="003B68B9" w:rsidP="003B68B9">
      <w:pPr>
        <w:pStyle w:val="NormalWeb"/>
        <w:jc w:val="both"/>
        <w:rPr>
          <w:rFonts w:ascii="Aptos" w:hAnsi="Aptos" w:cs="Calibri Light"/>
        </w:rPr>
      </w:pPr>
    </w:p>
    <w:p w14:paraId="4551C1F2"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2. Alcance</w:t>
      </w:r>
    </w:p>
    <w:p w14:paraId="6C8A453E" w14:textId="77777777" w:rsidR="003B68B9" w:rsidRPr="003B68B9" w:rsidRDefault="003B68B9" w:rsidP="003B68B9">
      <w:pPr>
        <w:pStyle w:val="NormalWeb"/>
        <w:jc w:val="both"/>
        <w:rPr>
          <w:rFonts w:ascii="Aptos" w:hAnsi="Aptos" w:cs="Calibri Light"/>
        </w:rPr>
      </w:pPr>
      <w:r w:rsidRPr="003B68B9">
        <w:rPr>
          <w:rFonts w:ascii="Aptos" w:hAnsi="Aptos" w:cs="Calibri Light"/>
        </w:rPr>
        <w:t>Este protocolo se aplica a todos los miembros, empleados, directivos y colaboradores de la AAFC, así como a cualquier persona o entidad que actúe en su nombre.</w:t>
      </w:r>
    </w:p>
    <w:p w14:paraId="0F8F3DAF" w14:textId="77777777" w:rsidR="003B68B9" w:rsidRPr="003B68B9" w:rsidRDefault="003B68B9" w:rsidP="003B68B9">
      <w:pPr>
        <w:pStyle w:val="NormalWeb"/>
        <w:jc w:val="both"/>
        <w:rPr>
          <w:rFonts w:ascii="Aptos" w:hAnsi="Aptos" w:cs="Calibri Light"/>
        </w:rPr>
      </w:pPr>
    </w:p>
    <w:p w14:paraId="399BC580"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3. Principios de Transparencia</w:t>
      </w:r>
    </w:p>
    <w:p w14:paraId="27F488B5"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Accesibilidad: Toda la información relevante debe estar disponible y ser fácilmente accesible para todas las partes interesadas.</w:t>
      </w:r>
    </w:p>
    <w:p w14:paraId="6B2D4CFC"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Claridad: La información debe presentarse de manera clara, precisa y comprensible.</w:t>
      </w:r>
    </w:p>
    <w:p w14:paraId="43EF5975"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Integridad: La información debe ser completa y no debe ocultar ningún dato relevante.</w:t>
      </w:r>
    </w:p>
    <w:p w14:paraId="5047A55C"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Oportunidad: La información debe ser proporcionada en el tiempo adecuado para su análisis y toma de decisiones.</w:t>
      </w:r>
    </w:p>
    <w:p w14:paraId="25DB7CFC" w14:textId="77777777" w:rsidR="003B68B9" w:rsidRPr="003B68B9" w:rsidRDefault="003B68B9" w:rsidP="003B68B9">
      <w:pPr>
        <w:pStyle w:val="NormalWeb"/>
        <w:jc w:val="both"/>
        <w:rPr>
          <w:rFonts w:ascii="Aptos" w:hAnsi="Aptos" w:cs="Calibri Light"/>
        </w:rPr>
      </w:pPr>
    </w:p>
    <w:p w14:paraId="705697ED"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4. Información sujeta a Transparencia</w:t>
      </w:r>
    </w:p>
    <w:p w14:paraId="450F4AC5" w14:textId="77777777" w:rsidR="003B68B9" w:rsidRPr="003B68B9" w:rsidRDefault="003B68B9" w:rsidP="003B68B9">
      <w:pPr>
        <w:pStyle w:val="NormalWeb"/>
        <w:jc w:val="both"/>
        <w:rPr>
          <w:rFonts w:ascii="Aptos" w:hAnsi="Aptos" w:cs="Calibri Light"/>
        </w:rPr>
      </w:pPr>
      <w:r w:rsidRPr="003B68B9">
        <w:rPr>
          <w:rFonts w:ascii="Aptos" w:hAnsi="Aptos" w:cs="Calibri Light"/>
        </w:rPr>
        <w:t>4.1 Información Organizacional</w:t>
      </w:r>
    </w:p>
    <w:p w14:paraId="76B44227"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Estructura organizacional</w:t>
      </w:r>
    </w:p>
    <w:p w14:paraId="7C5AC328"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Funciones y competencias</w:t>
      </w:r>
    </w:p>
    <w:p w14:paraId="40FDD270"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Planes y programas anuales</w:t>
      </w:r>
    </w:p>
    <w:p w14:paraId="647EE4BB" w14:textId="77777777" w:rsidR="003B68B9" w:rsidRPr="003B68B9" w:rsidRDefault="003B68B9" w:rsidP="003B68B9">
      <w:pPr>
        <w:pStyle w:val="NormalWeb"/>
        <w:jc w:val="both"/>
        <w:rPr>
          <w:rFonts w:ascii="Aptos" w:hAnsi="Aptos" w:cs="Calibri Light"/>
        </w:rPr>
      </w:pPr>
    </w:p>
    <w:p w14:paraId="7319D629" w14:textId="77777777" w:rsidR="003B68B9" w:rsidRPr="003B68B9" w:rsidRDefault="003B68B9" w:rsidP="003B68B9">
      <w:pPr>
        <w:pStyle w:val="NormalWeb"/>
        <w:jc w:val="both"/>
        <w:rPr>
          <w:rFonts w:ascii="Aptos" w:hAnsi="Aptos" w:cs="Calibri Light"/>
        </w:rPr>
      </w:pPr>
      <w:r w:rsidRPr="003B68B9">
        <w:rPr>
          <w:rFonts w:ascii="Aptos" w:hAnsi="Aptos" w:cs="Calibri Light"/>
        </w:rPr>
        <w:t>4.2 Información Financiera</w:t>
      </w:r>
    </w:p>
    <w:p w14:paraId="4139E93E"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Presupuesto anual</w:t>
      </w:r>
    </w:p>
    <w:p w14:paraId="65B5BD39"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Ejecución presupuestaria</w:t>
      </w:r>
    </w:p>
    <w:p w14:paraId="08291B69"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Informes financieros</w:t>
      </w:r>
    </w:p>
    <w:p w14:paraId="2C0D4D9C" w14:textId="77777777" w:rsidR="003B68B9" w:rsidRPr="003B68B9" w:rsidRDefault="003B68B9" w:rsidP="003B68B9">
      <w:pPr>
        <w:pStyle w:val="NormalWeb"/>
        <w:jc w:val="both"/>
        <w:rPr>
          <w:rFonts w:ascii="Aptos" w:hAnsi="Aptos" w:cs="Calibri Light"/>
        </w:rPr>
      </w:pPr>
    </w:p>
    <w:p w14:paraId="15671192" w14:textId="77777777" w:rsidR="003B68B9" w:rsidRPr="003B68B9" w:rsidRDefault="003B68B9" w:rsidP="003B68B9">
      <w:pPr>
        <w:pStyle w:val="NormalWeb"/>
        <w:jc w:val="both"/>
        <w:rPr>
          <w:rFonts w:ascii="Aptos" w:hAnsi="Aptos" w:cs="Calibri Light"/>
        </w:rPr>
      </w:pPr>
      <w:r w:rsidRPr="003B68B9">
        <w:rPr>
          <w:rFonts w:ascii="Aptos" w:hAnsi="Aptos" w:cs="Calibri Light"/>
        </w:rPr>
        <w:t>4.3 Información de Gestión</w:t>
      </w:r>
    </w:p>
    <w:p w14:paraId="2E19D4D9"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Informes de gestión</w:t>
      </w:r>
    </w:p>
    <w:p w14:paraId="30075543"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Resultados y evaluaciones de programas y proyectos</w:t>
      </w:r>
    </w:p>
    <w:p w14:paraId="245EA94F" w14:textId="77777777" w:rsidR="003B68B9" w:rsidRPr="003B68B9" w:rsidRDefault="003B68B9" w:rsidP="003B68B9">
      <w:pPr>
        <w:pStyle w:val="NormalWeb"/>
        <w:jc w:val="both"/>
        <w:rPr>
          <w:rFonts w:ascii="Aptos" w:hAnsi="Aptos" w:cs="Calibri Light"/>
        </w:rPr>
      </w:pPr>
    </w:p>
    <w:p w14:paraId="5E91F77E" w14:textId="77777777" w:rsidR="003B68B9" w:rsidRPr="003B68B9" w:rsidRDefault="003B68B9" w:rsidP="003B68B9">
      <w:pPr>
        <w:pStyle w:val="NormalWeb"/>
        <w:jc w:val="both"/>
        <w:rPr>
          <w:rFonts w:ascii="Aptos" w:hAnsi="Aptos" w:cs="Calibri Light"/>
        </w:rPr>
      </w:pPr>
      <w:r w:rsidRPr="003B68B9">
        <w:rPr>
          <w:rFonts w:ascii="Aptos" w:hAnsi="Aptos" w:cs="Calibri Light"/>
        </w:rPr>
        <w:t>4.4 Información sobre Contrataciones</w:t>
      </w:r>
    </w:p>
    <w:p w14:paraId="20D074AB"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Procedimientos de contratación y adquisiciones</w:t>
      </w:r>
    </w:p>
    <w:p w14:paraId="78187A11"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Listado de contratistas y proveedores</w:t>
      </w:r>
    </w:p>
    <w:p w14:paraId="5E0FD5FC"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Contratos y convenios</w:t>
      </w:r>
    </w:p>
    <w:p w14:paraId="780B5026" w14:textId="77777777" w:rsidR="003B68B9" w:rsidRPr="003B68B9" w:rsidRDefault="003B68B9" w:rsidP="003B68B9">
      <w:pPr>
        <w:pStyle w:val="NormalWeb"/>
        <w:jc w:val="both"/>
        <w:rPr>
          <w:rFonts w:ascii="Aptos" w:hAnsi="Aptos" w:cs="Calibri Light"/>
        </w:rPr>
      </w:pPr>
    </w:p>
    <w:p w14:paraId="650EAEAC"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5. Procedimientos para el Acceso a la Información</w:t>
      </w:r>
    </w:p>
    <w:p w14:paraId="7F4FF9D6" w14:textId="77777777" w:rsidR="003B68B9" w:rsidRPr="003B68B9" w:rsidRDefault="003B68B9" w:rsidP="003B68B9">
      <w:pPr>
        <w:pStyle w:val="NormalWeb"/>
        <w:jc w:val="both"/>
        <w:rPr>
          <w:rFonts w:ascii="Aptos" w:hAnsi="Aptos" w:cs="Calibri Light"/>
        </w:rPr>
      </w:pPr>
      <w:r w:rsidRPr="003B68B9">
        <w:rPr>
          <w:rFonts w:ascii="Aptos" w:hAnsi="Aptos" w:cs="Calibri Light"/>
        </w:rPr>
        <w:t>5.1 Solicitud de Información</w:t>
      </w:r>
    </w:p>
    <w:p w14:paraId="3A308286"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 Asociación pone a disposición de la ciudadanía los siguientes medios para garantizar el acceso a la información:</w:t>
      </w:r>
    </w:p>
    <w:p w14:paraId="57E2C355" w14:textId="1A3E60C0" w:rsidR="003B68B9" w:rsidRPr="003B68B9" w:rsidRDefault="003B68B9" w:rsidP="00703166">
      <w:pPr>
        <w:pStyle w:val="NormalWeb"/>
        <w:ind w:left="993" w:hanging="426"/>
        <w:rPr>
          <w:rFonts w:ascii="Aptos" w:hAnsi="Aptos" w:cs="Calibri Light"/>
        </w:rPr>
      </w:pPr>
      <w:r w:rsidRPr="003B68B9">
        <w:rPr>
          <w:rFonts w:ascii="Aptos" w:hAnsi="Aptos" w:cs="Calibri Light"/>
        </w:rPr>
        <w:lastRenderedPageBreak/>
        <w:t>•</w:t>
      </w:r>
      <w:r w:rsidRPr="003B68B9">
        <w:rPr>
          <w:rFonts w:ascii="Aptos" w:hAnsi="Aptos" w:cs="Calibri Light"/>
        </w:rPr>
        <w:tab/>
        <w:t xml:space="preserve">Presencialmente: Acudiendo a nuestra sede en la Calle </w:t>
      </w:r>
      <w:proofErr w:type="spellStart"/>
      <w:r w:rsidRPr="003B68B9">
        <w:rPr>
          <w:rFonts w:ascii="Aptos" w:hAnsi="Aptos" w:cs="Calibri Light"/>
        </w:rPr>
        <w:t>Olof</w:t>
      </w:r>
      <w:proofErr w:type="spellEnd"/>
      <w:r w:rsidRPr="003B68B9">
        <w:rPr>
          <w:rFonts w:ascii="Aptos" w:hAnsi="Aptos" w:cs="Calibri Light"/>
        </w:rPr>
        <w:t xml:space="preserve"> Palme nº43 2ºA, Las Palmas de Gran Canaria</w:t>
      </w:r>
    </w:p>
    <w:p w14:paraId="2871F53E" w14:textId="66126450" w:rsidR="003B68B9" w:rsidRPr="003B68B9" w:rsidRDefault="003B68B9" w:rsidP="00703166">
      <w:pPr>
        <w:pStyle w:val="NormalWeb"/>
        <w:ind w:left="993" w:hanging="426"/>
        <w:rPr>
          <w:rFonts w:ascii="Aptos" w:hAnsi="Aptos" w:cs="Calibri Light"/>
        </w:rPr>
      </w:pPr>
      <w:r w:rsidRPr="003B68B9">
        <w:rPr>
          <w:rFonts w:ascii="Aptos" w:hAnsi="Aptos" w:cs="Calibri Light"/>
        </w:rPr>
        <w:t>•</w:t>
      </w:r>
      <w:r w:rsidRPr="003B68B9">
        <w:rPr>
          <w:rFonts w:ascii="Aptos" w:hAnsi="Aptos" w:cs="Calibri Light"/>
        </w:rPr>
        <w:tab/>
        <w:t>Telefónicamente: 928 22 70 64 / 928 27 82 92</w:t>
      </w:r>
    </w:p>
    <w:p w14:paraId="36DA0359" w14:textId="77777777" w:rsidR="003B68B9" w:rsidRPr="003B68B9" w:rsidRDefault="003B68B9" w:rsidP="00703166">
      <w:pPr>
        <w:pStyle w:val="NormalWeb"/>
        <w:ind w:left="993" w:hanging="426"/>
        <w:rPr>
          <w:rFonts w:ascii="Aptos" w:hAnsi="Aptos" w:cs="Calibri Light"/>
        </w:rPr>
      </w:pPr>
      <w:r w:rsidRPr="003B68B9">
        <w:rPr>
          <w:rFonts w:ascii="Aptos" w:hAnsi="Aptos" w:cs="Calibri Light"/>
        </w:rPr>
        <w:t>•</w:t>
      </w:r>
      <w:r w:rsidRPr="003B68B9">
        <w:rPr>
          <w:rFonts w:ascii="Aptos" w:hAnsi="Aptos" w:cs="Calibri Light"/>
        </w:rPr>
        <w:tab/>
        <w:t>Solicitud mediante correo electrónico a: asociacion@asesoresfiscalesdecanarias.org</w:t>
      </w:r>
    </w:p>
    <w:p w14:paraId="64BF2D2B" w14:textId="77777777" w:rsidR="003B68B9" w:rsidRPr="003B68B9" w:rsidRDefault="003B68B9" w:rsidP="00703166">
      <w:pPr>
        <w:pStyle w:val="NormalWeb"/>
        <w:ind w:left="993" w:hanging="426"/>
        <w:rPr>
          <w:rFonts w:ascii="Aptos" w:hAnsi="Aptos" w:cs="Calibri Light"/>
        </w:rPr>
      </w:pPr>
      <w:r w:rsidRPr="003B68B9">
        <w:rPr>
          <w:rFonts w:ascii="Aptos" w:hAnsi="Aptos" w:cs="Calibri Light"/>
        </w:rPr>
        <w:t>•</w:t>
      </w:r>
      <w:r w:rsidRPr="003B68B9">
        <w:rPr>
          <w:rFonts w:ascii="Aptos" w:hAnsi="Aptos" w:cs="Calibri Light"/>
        </w:rPr>
        <w:tab/>
        <w:t>Utilizando el formulario para el acceso a la información pública. La solicitud debe incluir los datos de contacto del solicitante y una descripción clara de la información requerida.</w:t>
      </w:r>
    </w:p>
    <w:p w14:paraId="1534C189" w14:textId="77777777" w:rsidR="003B68B9" w:rsidRPr="003B68B9" w:rsidRDefault="003B68B9" w:rsidP="003B68B9">
      <w:pPr>
        <w:pStyle w:val="NormalWeb"/>
        <w:jc w:val="both"/>
        <w:rPr>
          <w:rFonts w:ascii="Aptos" w:hAnsi="Aptos" w:cs="Calibri Light"/>
        </w:rPr>
      </w:pPr>
    </w:p>
    <w:p w14:paraId="23F1625D" w14:textId="77777777" w:rsidR="003B68B9" w:rsidRPr="003B68B9" w:rsidRDefault="003B68B9" w:rsidP="003B68B9">
      <w:pPr>
        <w:pStyle w:val="NormalWeb"/>
        <w:jc w:val="both"/>
        <w:rPr>
          <w:rFonts w:ascii="Aptos" w:hAnsi="Aptos" w:cs="Calibri Light"/>
        </w:rPr>
      </w:pPr>
      <w:r w:rsidRPr="003B68B9">
        <w:rPr>
          <w:rFonts w:ascii="Aptos" w:hAnsi="Aptos" w:cs="Calibri Light"/>
        </w:rPr>
        <w:t>5.2 Respuesta a la Solicitud</w:t>
      </w:r>
    </w:p>
    <w:p w14:paraId="7E574919"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 AAFC responderá a las solicitudes de información en un plazo máximo de 15 días hábiles.</w:t>
      </w:r>
    </w:p>
    <w:p w14:paraId="759C3093"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En caso de no poder proporcionar la información solicitada, se deberá informar al solicitante los motivos y, de ser posible, orientar sobre dónde encontrar la información.</w:t>
      </w:r>
    </w:p>
    <w:p w14:paraId="04007835" w14:textId="77777777" w:rsidR="003B68B9" w:rsidRPr="003B68B9" w:rsidRDefault="003B68B9" w:rsidP="003B68B9">
      <w:pPr>
        <w:pStyle w:val="NormalWeb"/>
        <w:jc w:val="both"/>
        <w:rPr>
          <w:rFonts w:ascii="Aptos" w:hAnsi="Aptos" w:cs="Calibri Light"/>
        </w:rPr>
      </w:pPr>
    </w:p>
    <w:p w14:paraId="1C2252D7" w14:textId="77777777" w:rsidR="00703166" w:rsidRDefault="003B68B9" w:rsidP="003B68B9">
      <w:pPr>
        <w:pStyle w:val="NormalWeb"/>
        <w:jc w:val="both"/>
        <w:rPr>
          <w:rFonts w:ascii="Aptos" w:hAnsi="Aptos" w:cs="Calibri Light"/>
        </w:rPr>
      </w:pPr>
      <w:r w:rsidRPr="003B68B9">
        <w:rPr>
          <w:rFonts w:ascii="Aptos" w:hAnsi="Aptos" w:cs="Calibri Light"/>
        </w:rPr>
        <w:t>5.3 Revisión de Denegaciones</w:t>
      </w:r>
    </w:p>
    <w:p w14:paraId="085B1393" w14:textId="25830ACA" w:rsidR="003B68B9" w:rsidRPr="003B68B9" w:rsidRDefault="00703166" w:rsidP="00703166">
      <w:pPr>
        <w:pStyle w:val="NormalWeb"/>
        <w:tabs>
          <w:tab w:val="left" w:pos="426"/>
        </w:tabs>
        <w:jc w:val="both"/>
        <w:rPr>
          <w:rFonts w:ascii="Aptos" w:hAnsi="Aptos" w:cs="Calibri Light"/>
        </w:rPr>
      </w:pPr>
      <w:r>
        <w:rPr>
          <w:rFonts w:ascii="Aptos" w:hAnsi="Aptos" w:cs="Calibri Light"/>
        </w:rPr>
        <w:t xml:space="preserve">    </w:t>
      </w:r>
      <w:r w:rsidR="003B68B9" w:rsidRPr="003B68B9">
        <w:rPr>
          <w:rFonts w:ascii="Aptos" w:hAnsi="Aptos" w:cs="Calibri Light"/>
        </w:rPr>
        <w:t>Los solicitantes tienen derecho a solicitar una revisión de la denegación de información.</w:t>
      </w:r>
    </w:p>
    <w:p w14:paraId="290A9524"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 revisión será realizada por la AAFC y se emitirá una resolución en un plazo máximo de 15 días hábiles.</w:t>
      </w:r>
    </w:p>
    <w:p w14:paraId="16085C66" w14:textId="77777777" w:rsidR="003B68B9" w:rsidRPr="003B68B9" w:rsidRDefault="003B68B9" w:rsidP="003B68B9">
      <w:pPr>
        <w:pStyle w:val="NormalWeb"/>
        <w:jc w:val="both"/>
        <w:rPr>
          <w:rFonts w:ascii="Aptos" w:hAnsi="Aptos" w:cs="Calibri Light"/>
        </w:rPr>
      </w:pPr>
    </w:p>
    <w:p w14:paraId="399FEA86"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6. Publicación Proactiva de Información</w:t>
      </w:r>
    </w:p>
    <w:p w14:paraId="46F4F9A9"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 AAFC se compromete a publicar de manera proactiva y regular la información sujeta a transparencia en su sitio web y otros medios accesibles para los miembros y el público.</w:t>
      </w:r>
    </w:p>
    <w:p w14:paraId="7B810CF5" w14:textId="77777777" w:rsidR="003B68B9" w:rsidRPr="003B68B9" w:rsidRDefault="003B68B9" w:rsidP="003B68B9">
      <w:pPr>
        <w:pStyle w:val="NormalWeb"/>
        <w:jc w:val="both"/>
        <w:rPr>
          <w:rFonts w:ascii="Aptos" w:hAnsi="Aptos" w:cs="Calibri Light"/>
        </w:rPr>
      </w:pPr>
    </w:p>
    <w:p w14:paraId="20DB0EF0"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7. Capacitación y Sensibilización</w:t>
      </w:r>
    </w:p>
    <w:p w14:paraId="0ED8D173"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Se implementarán programas de capacitación continua para el personal y los miembros sobre los principios y prácticas de la transparencia.</w:t>
      </w:r>
    </w:p>
    <w:p w14:paraId="2EE7EE76" w14:textId="77777777" w:rsidR="003B68B9" w:rsidRPr="003B68B9" w:rsidRDefault="003B68B9" w:rsidP="003B68B9">
      <w:pPr>
        <w:pStyle w:val="NormalWeb"/>
        <w:jc w:val="both"/>
        <w:rPr>
          <w:rFonts w:ascii="Aptos" w:hAnsi="Aptos" w:cs="Calibri Light"/>
        </w:rPr>
      </w:pPr>
      <w:r w:rsidRPr="003B68B9">
        <w:rPr>
          <w:rFonts w:ascii="Aptos" w:hAnsi="Aptos" w:cs="Calibri Light"/>
        </w:rPr>
        <w:lastRenderedPageBreak/>
        <w:t xml:space="preserve">    Se promoverá la sensibilización de todas las partes interesadas sobre el derecho al acceso a la información.</w:t>
      </w:r>
    </w:p>
    <w:p w14:paraId="12B3FBDD" w14:textId="77777777" w:rsidR="003B68B9" w:rsidRPr="003B68B9" w:rsidRDefault="003B68B9" w:rsidP="003B68B9">
      <w:pPr>
        <w:pStyle w:val="NormalWeb"/>
        <w:jc w:val="both"/>
        <w:rPr>
          <w:rFonts w:ascii="Aptos" w:hAnsi="Aptos" w:cs="Calibri Light"/>
        </w:rPr>
      </w:pPr>
    </w:p>
    <w:p w14:paraId="1BCA7225"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8. Evaluación y Revisión</w:t>
      </w:r>
    </w:p>
    <w:p w14:paraId="4089B56E"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Este protocolo será evaluado y revisado periódicamente para asegurar su efectividad y adecuación a las normativas vigentes.</w:t>
      </w:r>
    </w:p>
    <w:p w14:paraId="7E021B71"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Las revisiones se realizarán cada año y se incluirán ajustes basados en las lecciones aprendidas y los cambios en el entorno regulatorio.</w:t>
      </w:r>
    </w:p>
    <w:p w14:paraId="2F4AF0C6" w14:textId="77777777" w:rsidR="003B68B9" w:rsidRPr="003B68B9" w:rsidRDefault="003B68B9" w:rsidP="003B68B9">
      <w:pPr>
        <w:pStyle w:val="NormalWeb"/>
        <w:jc w:val="both"/>
        <w:rPr>
          <w:rFonts w:ascii="Aptos" w:hAnsi="Aptos" w:cs="Calibri Light"/>
        </w:rPr>
      </w:pPr>
    </w:p>
    <w:p w14:paraId="217A422E"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9. Responsabilidades</w:t>
      </w:r>
    </w:p>
    <w:p w14:paraId="6A498FF0"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La AAFC es responsable de la implementación y supervisión de este protocolo.</w:t>
      </w:r>
    </w:p>
    <w:p w14:paraId="2323D0FE"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Todos los miembros, empleados y colaboradores tienen la obligación de cumplir con las directrices establecidas en este documento.</w:t>
      </w:r>
    </w:p>
    <w:p w14:paraId="30155BD8" w14:textId="77777777" w:rsidR="003B68B9" w:rsidRPr="003B68B9" w:rsidRDefault="003B68B9" w:rsidP="003B68B9">
      <w:pPr>
        <w:pStyle w:val="NormalWeb"/>
        <w:jc w:val="both"/>
        <w:rPr>
          <w:rFonts w:ascii="Aptos" w:hAnsi="Aptos" w:cs="Calibri Light"/>
        </w:rPr>
      </w:pPr>
    </w:p>
    <w:p w14:paraId="3E713074" w14:textId="77777777" w:rsidR="003B68B9" w:rsidRPr="003B68B9" w:rsidRDefault="003B68B9" w:rsidP="003B68B9">
      <w:pPr>
        <w:pStyle w:val="NormalWeb"/>
        <w:jc w:val="both"/>
        <w:rPr>
          <w:rFonts w:ascii="Aptos" w:hAnsi="Aptos" w:cs="Calibri Light"/>
          <w:b/>
          <w:bCs/>
        </w:rPr>
      </w:pPr>
      <w:r w:rsidRPr="003B68B9">
        <w:rPr>
          <w:rFonts w:ascii="Aptos" w:hAnsi="Aptos" w:cs="Calibri Light"/>
          <w:b/>
          <w:bCs/>
        </w:rPr>
        <w:t>10. Disposiciones Finales</w:t>
      </w:r>
    </w:p>
    <w:p w14:paraId="175CBAD1" w14:textId="77777777" w:rsidR="003B68B9" w:rsidRPr="003B68B9" w:rsidRDefault="003B68B9" w:rsidP="003B68B9">
      <w:pPr>
        <w:pStyle w:val="NormalWeb"/>
        <w:jc w:val="both"/>
        <w:rPr>
          <w:rFonts w:ascii="Aptos" w:hAnsi="Aptos" w:cs="Calibri Light"/>
        </w:rPr>
      </w:pPr>
      <w:r w:rsidRPr="003B68B9">
        <w:rPr>
          <w:rFonts w:ascii="Aptos" w:hAnsi="Aptos" w:cs="Calibri Light"/>
        </w:rPr>
        <w:t xml:space="preserve">    Este protocolo entra en vigor a partir del 1 de enero de 2024.</w:t>
      </w:r>
    </w:p>
    <w:p w14:paraId="1512FAA5" w14:textId="5B77B43F" w:rsidR="00246763" w:rsidRPr="003B68B9" w:rsidRDefault="003B68B9" w:rsidP="003B68B9">
      <w:pPr>
        <w:pStyle w:val="NormalWeb"/>
        <w:jc w:val="both"/>
        <w:rPr>
          <w:rFonts w:ascii="Aptos" w:hAnsi="Aptos" w:cs="Calibri Light"/>
        </w:rPr>
      </w:pPr>
      <w:r w:rsidRPr="003B68B9">
        <w:rPr>
          <w:rFonts w:ascii="Aptos" w:hAnsi="Aptos" w:cs="Calibri Light"/>
        </w:rPr>
        <w:t xml:space="preserve">    Cualquier modificación a este protocolo deberá ser aprobada por la Junta Directiva de la AAFC.</w:t>
      </w:r>
    </w:p>
    <w:sectPr w:rsidR="00246763" w:rsidRPr="003B68B9" w:rsidSect="00AA120B">
      <w:headerReference w:type="default" r:id="rId8"/>
      <w:footerReference w:type="default" r:id="rId9"/>
      <w:pgSz w:w="11906" w:h="16838"/>
      <w:pgMar w:top="2694" w:right="1133" w:bottom="1417" w:left="156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66CD" w14:textId="77777777" w:rsidR="007C4244" w:rsidRDefault="007C4244">
      <w:r>
        <w:separator/>
      </w:r>
    </w:p>
  </w:endnote>
  <w:endnote w:type="continuationSeparator" w:id="0">
    <w:p w14:paraId="1BEF8E59" w14:textId="77777777" w:rsidR="007C4244" w:rsidRDefault="007C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11AB" w14:textId="52150E3B" w:rsidR="00644484" w:rsidRDefault="003B68B9">
    <w:pPr>
      <w:pStyle w:val="Piedepgina"/>
    </w:pPr>
    <w:r>
      <w:rPr>
        <w:noProof/>
        <w:sz w:val="20"/>
      </w:rPr>
      <w:drawing>
        <wp:anchor distT="0" distB="0" distL="114300" distR="114300" simplePos="0" relativeHeight="251657216" behindDoc="0" locked="0" layoutInCell="1" allowOverlap="1" wp14:anchorId="72B601EC" wp14:editId="4FBE4976">
          <wp:simplePos x="0" y="0"/>
          <wp:positionH relativeFrom="column">
            <wp:posOffset>-972820</wp:posOffset>
          </wp:positionH>
          <wp:positionV relativeFrom="paragraph">
            <wp:posOffset>-2876550</wp:posOffset>
          </wp:positionV>
          <wp:extent cx="7562850" cy="42576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095CD" w14:textId="77777777" w:rsidR="0080794E" w:rsidRDefault="0080794E">
    <w:pPr>
      <w:pStyle w:val="Piedepgina"/>
    </w:pPr>
  </w:p>
  <w:p w14:paraId="2D2FBAA8" w14:textId="77777777" w:rsidR="0080794E" w:rsidRDefault="0080794E">
    <w:pPr>
      <w:pStyle w:val="Piedepgina"/>
    </w:pPr>
  </w:p>
  <w:p w14:paraId="1B188910" w14:textId="77777777" w:rsidR="008C720F" w:rsidRDefault="008C720F">
    <w:pPr>
      <w:pStyle w:val="Piedepgina"/>
    </w:pPr>
  </w:p>
  <w:p w14:paraId="174EEFF9" w14:textId="77777777" w:rsidR="00644484" w:rsidRDefault="00644484">
    <w:pPr>
      <w:pStyle w:val="Piedepgina"/>
    </w:pPr>
  </w:p>
  <w:p w14:paraId="4A58F009" w14:textId="77777777" w:rsidR="00644484" w:rsidRDefault="00644484">
    <w:pPr>
      <w:pStyle w:val="Piedepgina"/>
    </w:pPr>
  </w:p>
  <w:p w14:paraId="50FD552C" w14:textId="77777777" w:rsidR="003D30AA" w:rsidRDefault="003D30AA">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1DDA" w14:textId="77777777" w:rsidR="007C4244" w:rsidRDefault="007C4244">
      <w:r>
        <w:separator/>
      </w:r>
    </w:p>
  </w:footnote>
  <w:footnote w:type="continuationSeparator" w:id="0">
    <w:p w14:paraId="1BD3CBFF" w14:textId="77777777" w:rsidR="007C4244" w:rsidRDefault="007C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6CE6" w14:textId="11BC65EB" w:rsidR="003D30AA" w:rsidRDefault="003B68B9">
    <w:pPr>
      <w:pStyle w:val="Encabezado"/>
      <w:ind w:left="1080" w:right="900"/>
    </w:pPr>
    <w:r>
      <w:rPr>
        <w:noProof/>
        <w:sz w:val="20"/>
      </w:rPr>
      <w:drawing>
        <wp:anchor distT="0" distB="0" distL="114300" distR="114300" simplePos="0" relativeHeight="251658240" behindDoc="0" locked="0" layoutInCell="1" allowOverlap="1" wp14:anchorId="7B2FC56E" wp14:editId="538E360D">
          <wp:simplePos x="0" y="0"/>
          <wp:positionH relativeFrom="column">
            <wp:posOffset>-978535</wp:posOffset>
          </wp:positionH>
          <wp:positionV relativeFrom="paragraph">
            <wp:posOffset>-1905</wp:posOffset>
          </wp:positionV>
          <wp:extent cx="7543800" cy="17716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7378" w14:textId="77777777" w:rsidR="00AA120B" w:rsidRDefault="00AA120B">
    <w:pPr>
      <w:pStyle w:val="Encabezado"/>
      <w:ind w:left="1080" w:right="900"/>
    </w:pPr>
  </w:p>
  <w:p w14:paraId="73B99A1B" w14:textId="77777777" w:rsidR="000538F3" w:rsidRDefault="000538F3">
    <w:pPr>
      <w:pStyle w:val="Encabezado"/>
      <w:ind w:left="1080" w:right="900"/>
    </w:pPr>
  </w:p>
  <w:p w14:paraId="325A0402" w14:textId="77777777" w:rsidR="0080794E" w:rsidRDefault="0080794E">
    <w:pPr>
      <w:pStyle w:val="Encabezado"/>
      <w:ind w:left="1080" w:right="900"/>
    </w:pPr>
  </w:p>
  <w:p w14:paraId="4258807E" w14:textId="77777777" w:rsidR="006B381B" w:rsidRDefault="006B381B">
    <w:pPr>
      <w:pStyle w:val="Encabezado"/>
      <w:ind w:left="1080" w:right="900"/>
    </w:pPr>
  </w:p>
  <w:p w14:paraId="58462B5A" w14:textId="77777777" w:rsidR="00644484" w:rsidRDefault="00644484">
    <w:pPr>
      <w:pStyle w:val="Encabezado"/>
      <w:ind w:left="1080" w:right="900"/>
    </w:pPr>
  </w:p>
  <w:p w14:paraId="16FA03C6" w14:textId="77777777" w:rsidR="00644484" w:rsidRDefault="00644484">
    <w:pPr>
      <w:pStyle w:val="Encabezado"/>
      <w:ind w:left="1080"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161542"/>
    <w:multiLevelType w:val="hybridMultilevel"/>
    <w:tmpl w:val="A50686B8"/>
    <w:lvl w:ilvl="0" w:tplc="0C0A000F">
      <w:start w:val="1"/>
      <w:numFmt w:val="decimal"/>
      <w:lvlText w:val="%1."/>
      <w:lvlJc w:val="left"/>
      <w:pPr>
        <w:ind w:left="2340" w:hanging="360"/>
      </w:pPr>
      <w:rPr>
        <w:rFonts w:cs="Times New Roman"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ind w:left="1980" w:hanging="180"/>
      </w:pPr>
      <w:rPr>
        <w:rFonts w:cs="Times New Roman"/>
      </w:rPr>
    </w:lvl>
    <w:lvl w:ilvl="3" w:tplc="0C0A000F" w:tentative="1">
      <w:start w:val="1"/>
      <w:numFmt w:val="decimal"/>
      <w:lvlText w:val="%4."/>
      <w:lvlJc w:val="left"/>
      <w:pPr>
        <w:ind w:left="2700" w:hanging="360"/>
      </w:pPr>
      <w:rPr>
        <w:rFonts w:cs="Times New Roman"/>
      </w:rPr>
    </w:lvl>
    <w:lvl w:ilvl="4" w:tplc="0C0A0019" w:tentative="1">
      <w:start w:val="1"/>
      <w:numFmt w:val="lowerLetter"/>
      <w:lvlText w:val="%5."/>
      <w:lvlJc w:val="left"/>
      <w:pPr>
        <w:ind w:left="3420" w:hanging="360"/>
      </w:pPr>
      <w:rPr>
        <w:rFonts w:cs="Times New Roman"/>
      </w:rPr>
    </w:lvl>
    <w:lvl w:ilvl="5" w:tplc="0C0A001B" w:tentative="1">
      <w:start w:val="1"/>
      <w:numFmt w:val="lowerRoman"/>
      <w:lvlText w:val="%6."/>
      <w:lvlJc w:val="right"/>
      <w:pPr>
        <w:ind w:left="4140" w:hanging="180"/>
      </w:pPr>
      <w:rPr>
        <w:rFonts w:cs="Times New Roman"/>
      </w:rPr>
    </w:lvl>
    <w:lvl w:ilvl="6" w:tplc="0C0A000F" w:tentative="1">
      <w:start w:val="1"/>
      <w:numFmt w:val="decimal"/>
      <w:lvlText w:val="%7."/>
      <w:lvlJc w:val="left"/>
      <w:pPr>
        <w:ind w:left="4860" w:hanging="360"/>
      </w:pPr>
      <w:rPr>
        <w:rFonts w:cs="Times New Roman"/>
      </w:rPr>
    </w:lvl>
    <w:lvl w:ilvl="7" w:tplc="0C0A0019" w:tentative="1">
      <w:start w:val="1"/>
      <w:numFmt w:val="lowerLetter"/>
      <w:lvlText w:val="%8."/>
      <w:lvlJc w:val="left"/>
      <w:pPr>
        <w:ind w:left="5580" w:hanging="360"/>
      </w:pPr>
      <w:rPr>
        <w:rFonts w:cs="Times New Roman"/>
      </w:rPr>
    </w:lvl>
    <w:lvl w:ilvl="8" w:tplc="0C0A001B" w:tentative="1">
      <w:start w:val="1"/>
      <w:numFmt w:val="lowerRoman"/>
      <w:lvlText w:val="%9."/>
      <w:lvlJc w:val="right"/>
      <w:pPr>
        <w:ind w:left="6300" w:hanging="180"/>
      </w:pPr>
      <w:rPr>
        <w:rFonts w:cs="Times New Roman"/>
      </w:rPr>
    </w:lvl>
  </w:abstractNum>
  <w:abstractNum w:abstractNumId="7" w15:restartNumberingAfterBreak="0">
    <w:nsid w:val="0C217228"/>
    <w:multiLevelType w:val="multilevel"/>
    <w:tmpl w:val="8B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357AC"/>
    <w:multiLevelType w:val="hybridMultilevel"/>
    <w:tmpl w:val="B4B2AD70"/>
    <w:lvl w:ilvl="0" w:tplc="F54E3482">
      <w:start w:val="1"/>
      <w:numFmt w:val="decimal"/>
      <w:lvlText w:val="%1."/>
      <w:lvlJc w:val="left"/>
      <w:pPr>
        <w:tabs>
          <w:tab w:val="num" w:pos="1620"/>
        </w:tabs>
        <w:ind w:left="1620" w:hanging="360"/>
      </w:pPr>
      <w:rPr>
        <w:rFonts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9" w15:restartNumberingAfterBreak="0">
    <w:nsid w:val="1F8C6780"/>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40E6C27"/>
    <w:multiLevelType w:val="hybridMultilevel"/>
    <w:tmpl w:val="52561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2A3D86"/>
    <w:multiLevelType w:val="hybridMultilevel"/>
    <w:tmpl w:val="EF4E1D9A"/>
    <w:lvl w:ilvl="0" w:tplc="F732DE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5571A0"/>
    <w:multiLevelType w:val="hybridMultilevel"/>
    <w:tmpl w:val="9EC467F0"/>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F51CD"/>
    <w:multiLevelType w:val="hybridMultilevel"/>
    <w:tmpl w:val="6CBCD5EC"/>
    <w:lvl w:ilvl="0" w:tplc="205EF826">
      <w:numFmt w:val="bullet"/>
      <w:lvlText w:val="-"/>
      <w:lvlJc w:val="left"/>
      <w:pPr>
        <w:tabs>
          <w:tab w:val="num" w:pos="1080"/>
        </w:tabs>
        <w:ind w:left="1080" w:hanging="360"/>
      </w:pPr>
      <w:rPr>
        <w:rFonts w:ascii="Georgia" w:eastAsia="Times New Roman" w:hAnsi="Georgia" w:cs="Verdana"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732ED"/>
    <w:multiLevelType w:val="hybridMultilevel"/>
    <w:tmpl w:val="EA1E3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4F76DE"/>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16" w15:restartNumberingAfterBreak="0">
    <w:nsid w:val="5B790D4B"/>
    <w:multiLevelType w:val="hybridMultilevel"/>
    <w:tmpl w:val="DFD0EBF2"/>
    <w:lvl w:ilvl="0" w:tplc="72689634">
      <w:numFmt w:val="bullet"/>
      <w:lvlText w:val="-"/>
      <w:lvlJc w:val="left"/>
      <w:pPr>
        <w:tabs>
          <w:tab w:val="num" w:pos="720"/>
        </w:tabs>
        <w:ind w:left="720" w:hanging="360"/>
      </w:pPr>
      <w:rPr>
        <w:rFonts w:ascii="Georgia" w:eastAsia="Times New Roman" w:hAnsi="Georgi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56548"/>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6F304837"/>
    <w:multiLevelType w:val="hybridMultilevel"/>
    <w:tmpl w:val="71624986"/>
    <w:lvl w:ilvl="0" w:tplc="F732DEE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733C2175"/>
    <w:multiLevelType w:val="singleLevel"/>
    <w:tmpl w:val="A07C1D08"/>
    <w:lvl w:ilvl="0">
      <w:numFmt w:val="bullet"/>
      <w:lvlText w:val=""/>
      <w:lvlJc w:val="left"/>
      <w:pPr>
        <w:tabs>
          <w:tab w:val="num" w:pos="405"/>
        </w:tabs>
        <w:ind w:left="405" w:hanging="405"/>
      </w:pPr>
      <w:rPr>
        <w:rFonts w:ascii="Symbol" w:hAnsi="Symbol" w:hint="default"/>
      </w:rPr>
    </w:lvl>
  </w:abstractNum>
  <w:abstractNum w:abstractNumId="20" w15:restartNumberingAfterBreak="0">
    <w:nsid w:val="7F052445"/>
    <w:multiLevelType w:val="singleLevel"/>
    <w:tmpl w:val="0C0A0001"/>
    <w:lvl w:ilvl="0">
      <w:start w:val="2"/>
      <w:numFmt w:val="bullet"/>
      <w:lvlText w:val=""/>
      <w:lvlJc w:val="left"/>
      <w:pPr>
        <w:tabs>
          <w:tab w:val="num" w:pos="360"/>
        </w:tabs>
        <w:ind w:left="360" w:hanging="360"/>
      </w:pPr>
      <w:rPr>
        <w:rFonts w:ascii="Symbol" w:hAnsi="Symbol" w:hint="default"/>
      </w:rPr>
    </w:lvl>
  </w:abstractNum>
  <w:num w:numId="1" w16cid:durableId="1885628783">
    <w:abstractNumId w:val="17"/>
  </w:num>
  <w:num w:numId="2" w16cid:durableId="341015264">
    <w:abstractNumId w:val="19"/>
  </w:num>
  <w:num w:numId="3" w16cid:durableId="1161429144">
    <w:abstractNumId w:val="15"/>
  </w:num>
  <w:num w:numId="4" w16cid:durableId="2036077908">
    <w:abstractNumId w:val="20"/>
  </w:num>
  <w:num w:numId="5" w16cid:durableId="1987927874">
    <w:abstractNumId w:val="16"/>
  </w:num>
  <w:num w:numId="6" w16cid:durableId="796220052">
    <w:abstractNumId w:val="12"/>
  </w:num>
  <w:num w:numId="7" w16cid:durableId="663777591">
    <w:abstractNumId w:val="6"/>
  </w:num>
  <w:num w:numId="8" w16cid:durableId="567153340">
    <w:abstractNumId w:val="13"/>
  </w:num>
  <w:num w:numId="9" w16cid:durableId="1480536389">
    <w:abstractNumId w:val="9"/>
    <w:lvlOverride w:ilvl="0">
      <w:startOverride w:val="1"/>
    </w:lvlOverride>
  </w:num>
  <w:num w:numId="10" w16cid:durableId="1438915390">
    <w:abstractNumId w:val="8"/>
  </w:num>
  <w:num w:numId="11" w16cid:durableId="1067454123">
    <w:abstractNumId w:val="0"/>
  </w:num>
  <w:num w:numId="12" w16cid:durableId="1609658870">
    <w:abstractNumId w:val="1"/>
  </w:num>
  <w:num w:numId="13" w16cid:durableId="1090783820">
    <w:abstractNumId w:val="2"/>
  </w:num>
  <w:num w:numId="14" w16cid:durableId="980814382">
    <w:abstractNumId w:val="3"/>
  </w:num>
  <w:num w:numId="15" w16cid:durableId="1182546635">
    <w:abstractNumId w:val="4"/>
  </w:num>
  <w:num w:numId="16" w16cid:durableId="811677295">
    <w:abstractNumId w:val="5"/>
  </w:num>
  <w:num w:numId="17" w16cid:durableId="265814696">
    <w:abstractNumId w:val="10"/>
  </w:num>
  <w:num w:numId="18" w16cid:durableId="628781886">
    <w:abstractNumId w:val="18"/>
  </w:num>
  <w:num w:numId="19" w16cid:durableId="1780906658">
    <w:abstractNumId w:val="7"/>
  </w:num>
  <w:num w:numId="20" w16cid:durableId="2015767140">
    <w:abstractNumId w:val="14"/>
  </w:num>
  <w:num w:numId="21" w16cid:durableId="1979384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F1"/>
    <w:rsid w:val="00041F0F"/>
    <w:rsid w:val="00045531"/>
    <w:rsid w:val="000538F3"/>
    <w:rsid w:val="000B2AF1"/>
    <w:rsid w:val="000C2755"/>
    <w:rsid w:val="000C4662"/>
    <w:rsid w:val="000C71E0"/>
    <w:rsid w:val="000E5B23"/>
    <w:rsid w:val="00112A9B"/>
    <w:rsid w:val="00135A95"/>
    <w:rsid w:val="00181CB1"/>
    <w:rsid w:val="00184699"/>
    <w:rsid w:val="0019188F"/>
    <w:rsid w:val="0019524B"/>
    <w:rsid w:val="001B1DF5"/>
    <w:rsid w:val="001D1BE2"/>
    <w:rsid w:val="001D3AAE"/>
    <w:rsid w:val="00222ED2"/>
    <w:rsid w:val="00246763"/>
    <w:rsid w:val="00255BC5"/>
    <w:rsid w:val="00276485"/>
    <w:rsid w:val="002A589F"/>
    <w:rsid w:val="002C03AC"/>
    <w:rsid w:val="002D25C6"/>
    <w:rsid w:val="002F30C9"/>
    <w:rsid w:val="0034171C"/>
    <w:rsid w:val="00373077"/>
    <w:rsid w:val="00376964"/>
    <w:rsid w:val="00387AEA"/>
    <w:rsid w:val="003B68B9"/>
    <w:rsid w:val="003C5980"/>
    <w:rsid w:val="003D30AA"/>
    <w:rsid w:val="003D3784"/>
    <w:rsid w:val="003F18C0"/>
    <w:rsid w:val="00416C28"/>
    <w:rsid w:val="00422953"/>
    <w:rsid w:val="00442B11"/>
    <w:rsid w:val="00454D6A"/>
    <w:rsid w:val="004865E5"/>
    <w:rsid w:val="00490FDE"/>
    <w:rsid w:val="004B5029"/>
    <w:rsid w:val="00514625"/>
    <w:rsid w:val="00520A2A"/>
    <w:rsid w:val="005225F1"/>
    <w:rsid w:val="00550BE1"/>
    <w:rsid w:val="005522DB"/>
    <w:rsid w:val="00554A27"/>
    <w:rsid w:val="00570CCC"/>
    <w:rsid w:val="005B48D4"/>
    <w:rsid w:val="005B6AC1"/>
    <w:rsid w:val="005B75AC"/>
    <w:rsid w:val="005B7FE2"/>
    <w:rsid w:val="005C3634"/>
    <w:rsid w:val="005D5423"/>
    <w:rsid w:val="005E423E"/>
    <w:rsid w:val="005F1AC1"/>
    <w:rsid w:val="006077C3"/>
    <w:rsid w:val="00615349"/>
    <w:rsid w:val="006168F4"/>
    <w:rsid w:val="00635858"/>
    <w:rsid w:val="00644484"/>
    <w:rsid w:val="00647192"/>
    <w:rsid w:val="006557CA"/>
    <w:rsid w:val="006A1DA7"/>
    <w:rsid w:val="006A6FD5"/>
    <w:rsid w:val="006B381B"/>
    <w:rsid w:val="006B3E79"/>
    <w:rsid w:val="006C6867"/>
    <w:rsid w:val="006D4A46"/>
    <w:rsid w:val="006E79C8"/>
    <w:rsid w:val="006F6D4A"/>
    <w:rsid w:val="00703166"/>
    <w:rsid w:val="00721622"/>
    <w:rsid w:val="00724922"/>
    <w:rsid w:val="00755AB8"/>
    <w:rsid w:val="00787D79"/>
    <w:rsid w:val="00793D39"/>
    <w:rsid w:val="00793E8B"/>
    <w:rsid w:val="0079617A"/>
    <w:rsid w:val="007B1727"/>
    <w:rsid w:val="007C4244"/>
    <w:rsid w:val="007C7DFC"/>
    <w:rsid w:val="007E261F"/>
    <w:rsid w:val="008037F2"/>
    <w:rsid w:val="0080794E"/>
    <w:rsid w:val="008159B2"/>
    <w:rsid w:val="00817150"/>
    <w:rsid w:val="008464FF"/>
    <w:rsid w:val="0087443A"/>
    <w:rsid w:val="008A3EBD"/>
    <w:rsid w:val="008C0AC3"/>
    <w:rsid w:val="008C5FEA"/>
    <w:rsid w:val="008C720F"/>
    <w:rsid w:val="008F2903"/>
    <w:rsid w:val="00932250"/>
    <w:rsid w:val="00937D44"/>
    <w:rsid w:val="0095269F"/>
    <w:rsid w:val="00954845"/>
    <w:rsid w:val="00972D06"/>
    <w:rsid w:val="00996176"/>
    <w:rsid w:val="009D47D9"/>
    <w:rsid w:val="00A0664E"/>
    <w:rsid w:val="00A2021C"/>
    <w:rsid w:val="00A22BF5"/>
    <w:rsid w:val="00A24469"/>
    <w:rsid w:val="00A52168"/>
    <w:rsid w:val="00A632B2"/>
    <w:rsid w:val="00A73E20"/>
    <w:rsid w:val="00A931C1"/>
    <w:rsid w:val="00A96624"/>
    <w:rsid w:val="00AA120B"/>
    <w:rsid w:val="00AB1460"/>
    <w:rsid w:val="00AD454E"/>
    <w:rsid w:val="00B0597B"/>
    <w:rsid w:val="00B35786"/>
    <w:rsid w:val="00B56D46"/>
    <w:rsid w:val="00B6520D"/>
    <w:rsid w:val="00B665BF"/>
    <w:rsid w:val="00B72ACB"/>
    <w:rsid w:val="00BB23FD"/>
    <w:rsid w:val="00BB574E"/>
    <w:rsid w:val="00BD3D3C"/>
    <w:rsid w:val="00BE39EA"/>
    <w:rsid w:val="00C02493"/>
    <w:rsid w:val="00C224F5"/>
    <w:rsid w:val="00C23195"/>
    <w:rsid w:val="00C43716"/>
    <w:rsid w:val="00C6061A"/>
    <w:rsid w:val="00CC6424"/>
    <w:rsid w:val="00D15836"/>
    <w:rsid w:val="00D44A83"/>
    <w:rsid w:val="00DC52C3"/>
    <w:rsid w:val="00DD533B"/>
    <w:rsid w:val="00E04F27"/>
    <w:rsid w:val="00E424F1"/>
    <w:rsid w:val="00E5780C"/>
    <w:rsid w:val="00E67A47"/>
    <w:rsid w:val="00E70FF1"/>
    <w:rsid w:val="00E802AB"/>
    <w:rsid w:val="00E92B50"/>
    <w:rsid w:val="00E96ABD"/>
    <w:rsid w:val="00EA4BE1"/>
    <w:rsid w:val="00EB7DB7"/>
    <w:rsid w:val="00ED0341"/>
    <w:rsid w:val="00F15ACB"/>
    <w:rsid w:val="00F3461E"/>
    <w:rsid w:val="00F40BAC"/>
    <w:rsid w:val="00F42DD9"/>
    <w:rsid w:val="00F525C3"/>
    <w:rsid w:val="00F6770B"/>
    <w:rsid w:val="00F776CA"/>
    <w:rsid w:val="00FA175D"/>
    <w:rsid w:val="00FA667F"/>
    <w:rsid w:val="00FB0D80"/>
    <w:rsid w:val="00FB7F05"/>
    <w:rsid w:val="00FE1020"/>
    <w:rsid w:val="00FF0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3B932"/>
  <w15:chartTrackingRefBased/>
  <w15:docId w15:val="{7A60EE3E-77F4-4481-A751-21B812CC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922"/>
    <w:pPr>
      <w:widowControl w:val="0"/>
      <w:snapToGrid w:val="0"/>
    </w:pPr>
    <w:rPr>
      <w:rFonts w:ascii="Courier New" w:hAnsi="Courier New"/>
      <w:sz w:val="24"/>
      <w:lang w:val="es-ES_tradnl"/>
    </w:rPr>
  </w:style>
  <w:style w:type="paragraph" w:styleId="Ttulo1">
    <w:name w:val="heading 1"/>
    <w:basedOn w:val="Normal"/>
    <w:next w:val="Normal"/>
    <w:qFormat/>
    <w:pPr>
      <w:keepNext/>
      <w:jc w:val="center"/>
      <w:outlineLvl w:val="0"/>
    </w:pPr>
    <w:rPr>
      <w:rFonts w:ascii="Abadi MT Condensed Light" w:hAnsi="Abadi MT Condensed Light"/>
      <w:b/>
      <w:snapToGrid w:val="0"/>
      <w:sz w:val="22"/>
    </w:rPr>
  </w:style>
  <w:style w:type="paragraph" w:styleId="Ttulo2">
    <w:name w:val="heading 2"/>
    <w:basedOn w:val="Normal"/>
    <w:next w:val="Normal"/>
    <w:qFormat/>
    <w:rsid w:val="00387AEA"/>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center" w:pos="4512"/>
      </w:tabs>
      <w:jc w:val="center"/>
      <w:outlineLvl w:val="2"/>
    </w:pPr>
    <w:rPr>
      <w:b/>
      <w:snapToGrid w:val="0"/>
      <w:sz w:val="28"/>
      <w:u w:val="single"/>
    </w:rPr>
  </w:style>
  <w:style w:type="paragraph" w:styleId="Ttulo4">
    <w:name w:val="heading 4"/>
    <w:basedOn w:val="Normal"/>
    <w:next w:val="Normal"/>
    <w:qFormat/>
    <w:rsid w:val="00387AEA"/>
    <w:pPr>
      <w:keepNext/>
      <w:spacing w:before="240" w:after="60"/>
      <w:outlineLvl w:val="3"/>
    </w:pPr>
    <w:rPr>
      <w:b/>
      <w:bCs/>
      <w:sz w:val="28"/>
      <w:szCs w:val="28"/>
    </w:rPr>
  </w:style>
  <w:style w:type="paragraph" w:styleId="Ttulo5">
    <w:name w:val="heading 5"/>
    <w:basedOn w:val="Normal"/>
    <w:next w:val="Normal"/>
    <w:link w:val="Ttulo5Car"/>
    <w:qFormat/>
    <w:rsid w:val="00387AEA"/>
    <w:pPr>
      <w:spacing w:before="240" w:after="60"/>
      <w:outlineLvl w:val="4"/>
    </w:pPr>
    <w:rPr>
      <w:b/>
      <w:bCs/>
      <w:i/>
      <w:iCs/>
      <w:sz w:val="26"/>
      <w:szCs w:val="26"/>
    </w:rPr>
  </w:style>
  <w:style w:type="paragraph" w:styleId="Ttulo6">
    <w:name w:val="heading 6"/>
    <w:basedOn w:val="Normal"/>
    <w:next w:val="Normal"/>
    <w:qFormat/>
    <w:rsid w:val="00387AEA"/>
    <w:pPr>
      <w:spacing w:before="240" w:after="60"/>
      <w:outlineLvl w:val="5"/>
    </w:pPr>
    <w:rPr>
      <w:b/>
      <w:bCs/>
      <w:sz w:val="22"/>
      <w:szCs w:val="22"/>
    </w:rPr>
  </w:style>
  <w:style w:type="paragraph" w:styleId="Ttulo7">
    <w:name w:val="heading 7"/>
    <w:basedOn w:val="Normal"/>
    <w:next w:val="Normal"/>
    <w:qFormat/>
    <w:rsid w:val="00387AEA"/>
    <w:pPr>
      <w:spacing w:before="240" w:after="60"/>
      <w:outlineLvl w:val="6"/>
    </w:pPr>
  </w:style>
  <w:style w:type="paragraph" w:styleId="Ttulo8">
    <w:name w:val="heading 8"/>
    <w:basedOn w:val="Normal"/>
    <w:next w:val="Normal"/>
    <w:qFormat/>
    <w:pPr>
      <w:keepNext/>
      <w:jc w:val="center"/>
      <w:outlineLvl w:val="7"/>
    </w:pPr>
    <w:rPr>
      <w:rFonts w:ascii="Copperplate Gothic Light" w:hAnsi="Copperplate Gothic Light"/>
      <w:i/>
      <w:snapToGrid w:val="0"/>
      <w:sz w:val="40"/>
    </w:rPr>
  </w:style>
  <w:style w:type="paragraph" w:styleId="Ttulo9">
    <w:name w:val="heading 9"/>
    <w:basedOn w:val="Normal"/>
    <w:next w:val="Normal"/>
    <w:qFormat/>
    <w:pPr>
      <w:keepNext/>
      <w:jc w:val="center"/>
      <w:outlineLvl w:val="8"/>
    </w:pPr>
    <w:rPr>
      <w:rFonts w:ascii="Book Antiqua" w:hAnsi="Book Antiqua"/>
      <w:i/>
      <w:snapToGrid w:val="0"/>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snapToGrid w:val="0"/>
    </w:rPr>
  </w:style>
  <w:style w:type="paragraph" w:styleId="Mapadeldocumento">
    <w:name w:val="Document Map"/>
    <w:basedOn w:val="Normal"/>
    <w:semiHidden/>
    <w:pPr>
      <w:shd w:val="clear" w:color="auto" w:fill="000080"/>
    </w:pPr>
    <w:rPr>
      <w:rFonts w:ascii="Tahoma" w:hAnsi="Tahoma"/>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independiente2">
    <w:name w:val="Body Text 2"/>
    <w:basedOn w:val="Normal"/>
    <w:pPr>
      <w:jc w:val="both"/>
    </w:pPr>
    <w:rPr>
      <w:rFonts w:ascii="Abadi MT Condensed Light" w:hAnsi="Abadi MT Condensed Light"/>
      <w:snapToGrid w:val="0"/>
      <w:sz w:val="22"/>
    </w:rPr>
  </w:style>
  <w:style w:type="paragraph" w:styleId="Sangradetextonormal">
    <w:name w:val="Body Text Indent"/>
    <w:basedOn w:val="Normal"/>
    <w:pPr>
      <w:ind w:firstLine="720"/>
      <w:jc w:val="both"/>
    </w:pPr>
    <w:rPr>
      <w:rFonts w:ascii="Bookman Old Style" w:hAnsi="Bookman Old Style"/>
      <w:snapToGrid w:val="0"/>
      <w:sz w:val="18"/>
    </w:rPr>
  </w:style>
  <w:style w:type="paragraph" w:styleId="Textodebloque">
    <w:name w:val="Block Text"/>
    <w:basedOn w:val="Normal"/>
    <w:pPr>
      <w:ind w:left="1134" w:right="851"/>
      <w:jc w:val="both"/>
    </w:pPr>
    <w:rPr>
      <w:rFonts w:ascii="Bookman Old Style" w:hAnsi="Bookman Old Style"/>
      <w:sz w:val="28"/>
    </w:rPr>
  </w:style>
  <w:style w:type="paragraph" w:styleId="Textoindependiente3">
    <w:name w:val="Body Text 3"/>
    <w:basedOn w:val="Normal"/>
    <w:rsid w:val="00387AEA"/>
    <w:pPr>
      <w:spacing w:after="120"/>
    </w:pPr>
    <w:rPr>
      <w:sz w:val="16"/>
      <w:szCs w:val="16"/>
    </w:rPr>
  </w:style>
  <w:style w:type="character" w:styleId="Nmerodepgina">
    <w:name w:val="page number"/>
    <w:basedOn w:val="Fuentedeprrafopredeter"/>
    <w:rsid w:val="00387AEA"/>
  </w:style>
  <w:style w:type="table" w:styleId="Tablaconcuadrcula">
    <w:name w:val="Table Grid"/>
    <w:basedOn w:val="Tablanormal"/>
    <w:rsid w:val="005B75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semiHidden/>
    <w:rsid w:val="00376964"/>
    <w:rPr>
      <w:rFonts w:ascii="Tahoma" w:hAnsi="Tahoma" w:cs="Tahoma"/>
      <w:sz w:val="16"/>
      <w:szCs w:val="16"/>
    </w:rPr>
  </w:style>
  <w:style w:type="paragraph" w:customStyle="1" w:styleId="Prrafodelista1">
    <w:name w:val="Párrafo de lista1"/>
    <w:basedOn w:val="Normal"/>
    <w:rsid w:val="005B48D4"/>
    <w:pPr>
      <w:widowControl/>
      <w:snapToGrid/>
      <w:spacing w:after="200" w:line="276" w:lineRule="auto"/>
      <w:ind w:left="720"/>
      <w:contextualSpacing/>
    </w:pPr>
    <w:rPr>
      <w:rFonts w:ascii="Calibri" w:hAnsi="Calibri" w:cs="Calibri"/>
      <w:sz w:val="22"/>
      <w:szCs w:val="22"/>
      <w:lang w:val="es-ES" w:eastAsia="en-US"/>
    </w:rPr>
  </w:style>
  <w:style w:type="paragraph" w:customStyle="1" w:styleId="Nombredireccininterior">
    <w:name w:val="Nombre dirección interior"/>
    <w:basedOn w:val="Normal"/>
    <w:rsid w:val="00A931C1"/>
    <w:pPr>
      <w:snapToGrid/>
    </w:pPr>
    <w:rPr>
      <w:snapToGrid w:val="0"/>
      <w:szCs w:val="24"/>
    </w:rPr>
  </w:style>
  <w:style w:type="character" w:styleId="Textoennegrita">
    <w:name w:val="Strong"/>
    <w:qFormat/>
    <w:rsid w:val="00B56D46"/>
    <w:rPr>
      <w:b/>
      <w:bCs/>
    </w:rPr>
  </w:style>
  <w:style w:type="character" w:customStyle="1" w:styleId="Ttulo5Car">
    <w:name w:val="Título 5 Car"/>
    <w:link w:val="Ttulo5"/>
    <w:rsid w:val="00E802AB"/>
    <w:rPr>
      <w:rFonts w:ascii="Courier New" w:hAnsi="Courier New"/>
      <w:b/>
      <w:bCs/>
      <w:i/>
      <w:iCs/>
      <w:sz w:val="26"/>
      <w:szCs w:val="26"/>
      <w:lang w:val="es-ES_tradnl"/>
    </w:rPr>
  </w:style>
  <w:style w:type="table" w:customStyle="1" w:styleId="Tablaconcuadrcula1">
    <w:name w:val="Tabla con cuadrícula1"/>
    <w:basedOn w:val="Tablanormal"/>
    <w:next w:val="Tablaconcuadrcula"/>
    <w:uiPriority w:val="39"/>
    <w:rsid w:val="005F1AC1"/>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24F5"/>
    <w:pPr>
      <w:widowControl/>
      <w:snapToGrid/>
      <w:spacing w:before="100" w:beforeAutospacing="1" w:after="100" w:afterAutospacing="1"/>
    </w:pPr>
    <w:rPr>
      <w:rFonts w:ascii="Times New Roman" w:hAnsi="Times New Roman"/>
      <w:szCs w:val="24"/>
      <w:lang w:val="es-ES"/>
    </w:rPr>
  </w:style>
  <w:style w:type="character" w:customStyle="1" w:styleId="PiedepginaCar">
    <w:name w:val="Pie de página Car"/>
    <w:link w:val="Piedepgina"/>
    <w:uiPriority w:val="99"/>
    <w:rsid w:val="00AA120B"/>
    <w:rPr>
      <w:rFonts w:ascii="Courier New" w:hAnsi="Courier New"/>
      <w:sz w:val="24"/>
      <w:lang w:val="es-ES_tradnl"/>
    </w:rPr>
  </w:style>
  <w:style w:type="paragraph" w:styleId="Prrafodelista">
    <w:name w:val="List Paragraph"/>
    <w:basedOn w:val="Normal"/>
    <w:uiPriority w:val="34"/>
    <w:qFormat/>
    <w:rsid w:val="00AA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30582">
      <w:bodyDiv w:val="1"/>
      <w:marLeft w:val="0"/>
      <w:marRight w:val="0"/>
      <w:marTop w:val="0"/>
      <w:marBottom w:val="0"/>
      <w:divBdr>
        <w:top w:val="none" w:sz="0" w:space="0" w:color="auto"/>
        <w:left w:val="none" w:sz="0" w:space="0" w:color="auto"/>
        <w:bottom w:val="none" w:sz="0" w:space="0" w:color="auto"/>
        <w:right w:val="none" w:sz="0" w:space="0" w:color="auto"/>
      </w:divBdr>
    </w:div>
    <w:div w:id="840856190">
      <w:bodyDiv w:val="1"/>
      <w:marLeft w:val="0"/>
      <w:marRight w:val="0"/>
      <w:marTop w:val="0"/>
      <w:marBottom w:val="0"/>
      <w:divBdr>
        <w:top w:val="none" w:sz="0" w:space="0" w:color="auto"/>
        <w:left w:val="none" w:sz="0" w:space="0" w:color="auto"/>
        <w:bottom w:val="none" w:sz="0" w:space="0" w:color="auto"/>
        <w:right w:val="none" w:sz="0" w:space="0" w:color="auto"/>
      </w:divBdr>
    </w:div>
    <w:div w:id="9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4773354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27665317">
              <w:marLeft w:val="0"/>
              <w:marRight w:val="0"/>
              <w:marTop w:val="0"/>
              <w:marBottom w:val="0"/>
              <w:divBdr>
                <w:top w:val="none" w:sz="0" w:space="0" w:color="auto"/>
                <w:left w:val="none" w:sz="0" w:space="0" w:color="auto"/>
                <w:bottom w:val="none" w:sz="0" w:space="0" w:color="auto"/>
                <w:right w:val="none" w:sz="0" w:space="0" w:color="auto"/>
              </w:divBdr>
              <w:divsChild>
                <w:div w:id="318122625">
                  <w:marLeft w:val="0"/>
                  <w:marRight w:val="0"/>
                  <w:marTop w:val="0"/>
                  <w:marBottom w:val="0"/>
                  <w:divBdr>
                    <w:top w:val="none" w:sz="0" w:space="0" w:color="auto"/>
                    <w:left w:val="none" w:sz="0" w:space="0" w:color="auto"/>
                    <w:bottom w:val="none" w:sz="0" w:space="0" w:color="auto"/>
                    <w:right w:val="none" w:sz="0" w:space="0" w:color="auto"/>
                  </w:divBdr>
                </w:div>
                <w:div w:id="363094454">
                  <w:marLeft w:val="0"/>
                  <w:marRight w:val="0"/>
                  <w:marTop w:val="0"/>
                  <w:marBottom w:val="0"/>
                  <w:divBdr>
                    <w:top w:val="none" w:sz="0" w:space="0" w:color="auto"/>
                    <w:left w:val="none" w:sz="0" w:space="0" w:color="auto"/>
                    <w:bottom w:val="none" w:sz="0" w:space="0" w:color="auto"/>
                    <w:right w:val="none" w:sz="0" w:space="0" w:color="auto"/>
                  </w:divBdr>
                </w:div>
                <w:div w:id="424351676">
                  <w:marLeft w:val="0"/>
                  <w:marRight w:val="0"/>
                  <w:marTop w:val="0"/>
                  <w:marBottom w:val="0"/>
                  <w:divBdr>
                    <w:top w:val="none" w:sz="0" w:space="0" w:color="auto"/>
                    <w:left w:val="none" w:sz="0" w:space="0" w:color="auto"/>
                    <w:bottom w:val="none" w:sz="0" w:space="0" w:color="auto"/>
                    <w:right w:val="none" w:sz="0" w:space="0" w:color="auto"/>
                  </w:divBdr>
                </w:div>
                <w:div w:id="616567591">
                  <w:marLeft w:val="0"/>
                  <w:marRight w:val="0"/>
                  <w:marTop w:val="0"/>
                  <w:marBottom w:val="0"/>
                  <w:divBdr>
                    <w:top w:val="none" w:sz="0" w:space="0" w:color="auto"/>
                    <w:left w:val="none" w:sz="0" w:space="0" w:color="auto"/>
                    <w:bottom w:val="none" w:sz="0" w:space="0" w:color="auto"/>
                    <w:right w:val="none" w:sz="0" w:space="0" w:color="auto"/>
                  </w:divBdr>
                </w:div>
                <w:div w:id="786656805">
                  <w:marLeft w:val="0"/>
                  <w:marRight w:val="0"/>
                  <w:marTop w:val="0"/>
                  <w:marBottom w:val="0"/>
                  <w:divBdr>
                    <w:top w:val="none" w:sz="0" w:space="0" w:color="auto"/>
                    <w:left w:val="none" w:sz="0" w:space="0" w:color="auto"/>
                    <w:bottom w:val="none" w:sz="0" w:space="0" w:color="auto"/>
                    <w:right w:val="none" w:sz="0" w:space="0" w:color="auto"/>
                  </w:divBdr>
                </w:div>
                <w:div w:id="883910483">
                  <w:marLeft w:val="0"/>
                  <w:marRight w:val="0"/>
                  <w:marTop w:val="0"/>
                  <w:marBottom w:val="0"/>
                  <w:divBdr>
                    <w:top w:val="none" w:sz="0" w:space="0" w:color="auto"/>
                    <w:left w:val="none" w:sz="0" w:space="0" w:color="auto"/>
                    <w:bottom w:val="none" w:sz="0" w:space="0" w:color="auto"/>
                    <w:right w:val="none" w:sz="0" w:space="0" w:color="auto"/>
                  </w:divBdr>
                </w:div>
                <w:div w:id="1015814675">
                  <w:marLeft w:val="0"/>
                  <w:marRight w:val="0"/>
                  <w:marTop w:val="0"/>
                  <w:marBottom w:val="0"/>
                  <w:divBdr>
                    <w:top w:val="none" w:sz="0" w:space="0" w:color="auto"/>
                    <w:left w:val="none" w:sz="0" w:space="0" w:color="auto"/>
                    <w:bottom w:val="none" w:sz="0" w:space="0" w:color="auto"/>
                    <w:right w:val="none" w:sz="0" w:space="0" w:color="auto"/>
                  </w:divBdr>
                </w:div>
                <w:div w:id="1940487051">
                  <w:marLeft w:val="0"/>
                  <w:marRight w:val="0"/>
                  <w:marTop w:val="0"/>
                  <w:marBottom w:val="0"/>
                  <w:divBdr>
                    <w:top w:val="none" w:sz="0" w:space="0" w:color="auto"/>
                    <w:left w:val="none" w:sz="0" w:space="0" w:color="auto"/>
                    <w:bottom w:val="none" w:sz="0" w:space="0" w:color="auto"/>
                    <w:right w:val="none" w:sz="0" w:space="0" w:color="auto"/>
                  </w:divBdr>
                </w:div>
              </w:divsChild>
            </w:div>
            <w:div w:id="165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8367">
      <w:bodyDiv w:val="1"/>
      <w:marLeft w:val="0"/>
      <w:marRight w:val="0"/>
      <w:marTop w:val="0"/>
      <w:marBottom w:val="0"/>
      <w:divBdr>
        <w:top w:val="none" w:sz="0" w:space="0" w:color="auto"/>
        <w:left w:val="none" w:sz="0" w:space="0" w:color="auto"/>
        <w:bottom w:val="none" w:sz="0" w:space="0" w:color="auto"/>
        <w:right w:val="none" w:sz="0" w:space="0" w:color="auto"/>
      </w:divBdr>
    </w:div>
    <w:div w:id="17503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2BE1-0695-444F-AE44-A20BFA89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ASOCIACION DE ASESORES FISCALES DE CANARIAS</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AAFC</dc:creator>
  <cp:keywords/>
  <cp:lastModifiedBy>AAFC Formación</cp:lastModifiedBy>
  <cp:revision>3</cp:revision>
  <cp:lastPrinted>2021-07-15T13:23:00Z</cp:lastPrinted>
  <dcterms:created xsi:type="dcterms:W3CDTF">2024-07-26T15:51:00Z</dcterms:created>
  <dcterms:modified xsi:type="dcterms:W3CDTF">2024-07-28T17:45:00Z</dcterms:modified>
</cp:coreProperties>
</file>